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E" w:rsidRDefault="004E102E" w:rsidP="005D40C5">
      <w:pPr>
        <w:shd w:val="clear" w:color="auto" w:fill="FFFFFF"/>
        <w:spacing w:before="90" w:after="90" w:line="270" w:lineRule="atLeast"/>
        <w:jc w:val="center"/>
        <w:outlineLvl w:val="0"/>
        <w:rPr>
          <w:rFonts w:eastAsia="Times New Roman" w:cstheme="minorHAnsi"/>
          <w:b/>
          <w:bCs/>
          <w:color w:val="000000"/>
          <w:kern w:val="36"/>
          <w:sz w:val="24"/>
          <w:szCs w:val="24"/>
        </w:rPr>
      </w:pPr>
      <w:proofErr w:type="gramStart"/>
      <w:r w:rsidRPr="004E102E">
        <w:rPr>
          <w:rFonts w:eastAsia="Times New Roman" w:cstheme="minorHAnsi"/>
          <w:b/>
          <w:bCs/>
          <w:color w:val="000000"/>
          <w:kern w:val="36"/>
          <w:sz w:val="24"/>
          <w:szCs w:val="24"/>
        </w:rPr>
        <w:t xml:space="preserve">Clinical significance of </w:t>
      </w:r>
      <w:proofErr w:type="spellStart"/>
      <w:r w:rsidRPr="004E102E">
        <w:rPr>
          <w:rFonts w:eastAsia="Times New Roman" w:cstheme="minorHAnsi"/>
          <w:b/>
          <w:bCs/>
          <w:color w:val="000000"/>
          <w:kern w:val="36"/>
          <w:sz w:val="24"/>
          <w:szCs w:val="24"/>
        </w:rPr>
        <w:t>Aspergillus</w:t>
      </w:r>
      <w:proofErr w:type="spellEnd"/>
      <w:r w:rsidRPr="004E102E">
        <w:rPr>
          <w:rFonts w:eastAsia="Times New Roman" w:cstheme="minorHAnsi"/>
          <w:b/>
          <w:bCs/>
          <w:color w:val="000000"/>
          <w:kern w:val="36"/>
          <w:sz w:val="24"/>
          <w:szCs w:val="24"/>
        </w:rPr>
        <w:t xml:space="preserve"> </w:t>
      </w:r>
      <w:proofErr w:type="spellStart"/>
      <w:r w:rsidRPr="004E102E">
        <w:rPr>
          <w:rFonts w:eastAsia="Times New Roman" w:cstheme="minorHAnsi"/>
          <w:b/>
          <w:bCs/>
          <w:color w:val="000000"/>
          <w:kern w:val="36"/>
          <w:sz w:val="24"/>
          <w:szCs w:val="24"/>
        </w:rPr>
        <w:t>sensitisation</w:t>
      </w:r>
      <w:proofErr w:type="spellEnd"/>
      <w:r w:rsidRPr="004E102E">
        <w:rPr>
          <w:rFonts w:eastAsia="Times New Roman" w:cstheme="minorHAnsi"/>
          <w:b/>
          <w:bCs/>
          <w:color w:val="000000"/>
          <w:kern w:val="36"/>
          <w:sz w:val="24"/>
          <w:szCs w:val="24"/>
        </w:rPr>
        <w:t xml:space="preserve"> in bronchial asthma.</w:t>
      </w:r>
      <w:proofErr w:type="gramEnd"/>
    </w:p>
    <w:p w:rsidR="000D4CE2" w:rsidRPr="00E71837" w:rsidRDefault="000D4CE2" w:rsidP="000D4CE2">
      <w:pPr>
        <w:jc w:val="center"/>
        <w:rPr>
          <w:rFonts w:ascii="Arial" w:eastAsia="Times New Roman" w:hAnsi="Arial" w:cs="Arial"/>
          <w:color w:val="000000"/>
          <w:sz w:val="20"/>
          <w:szCs w:val="20"/>
        </w:rPr>
      </w:pPr>
      <w:proofErr w:type="gramStart"/>
      <w:r w:rsidRPr="00E71837">
        <w:rPr>
          <w:rFonts w:ascii="Arial" w:eastAsia="Times New Roman" w:hAnsi="Arial" w:cs="Arial"/>
          <w:color w:val="000000"/>
          <w:sz w:val="20"/>
          <w:szCs w:val="20"/>
        </w:rPr>
        <w:t>Department of Chest and Tuberculosis, Govt. Medical College, Patiala, Punjab, India.</w:t>
      </w:r>
      <w:proofErr w:type="gramEnd"/>
      <w:r w:rsidRPr="00E71837">
        <w:rPr>
          <w:rFonts w:ascii="Arial" w:eastAsia="Times New Roman" w:hAnsi="Arial" w:cs="Arial"/>
          <w:color w:val="000000"/>
          <w:sz w:val="20"/>
          <w:szCs w:val="20"/>
        </w:rPr>
        <w:t> </w:t>
      </w:r>
    </w:p>
    <w:p w:rsidR="000D4CE2" w:rsidRDefault="000D4CE2" w:rsidP="005D40C5">
      <w:pPr>
        <w:shd w:val="clear" w:color="auto" w:fill="FFFFFF"/>
        <w:spacing w:before="90" w:after="90" w:line="270" w:lineRule="atLeast"/>
        <w:jc w:val="center"/>
        <w:outlineLvl w:val="0"/>
        <w:rPr>
          <w:rFonts w:eastAsia="Times New Roman" w:cstheme="minorHAnsi"/>
          <w:b/>
          <w:bCs/>
          <w:color w:val="000000"/>
          <w:kern w:val="36"/>
          <w:sz w:val="24"/>
          <w:szCs w:val="24"/>
        </w:rPr>
      </w:pPr>
    </w:p>
    <w:p w:rsidR="008F3476" w:rsidRPr="004E102E" w:rsidRDefault="008F3476" w:rsidP="005D40C5">
      <w:pPr>
        <w:shd w:val="clear" w:color="auto" w:fill="FFFFFF"/>
        <w:spacing w:before="90" w:after="90" w:line="270" w:lineRule="atLeast"/>
        <w:jc w:val="center"/>
        <w:outlineLvl w:val="0"/>
        <w:rPr>
          <w:rFonts w:eastAsia="Times New Roman" w:cstheme="minorHAnsi"/>
          <w:b/>
          <w:bCs/>
          <w:color w:val="000000"/>
          <w:kern w:val="36"/>
          <w:sz w:val="24"/>
          <w:szCs w:val="24"/>
        </w:rPr>
      </w:pPr>
    </w:p>
    <w:p w:rsidR="008F3476" w:rsidRDefault="008F3476" w:rsidP="008F3476">
      <w:pPr>
        <w:spacing w:line="240" w:lineRule="auto"/>
        <w:rPr>
          <w:rFonts w:ascii="Arial" w:hAnsi="Arial" w:cs="Arial"/>
          <w:sz w:val="20"/>
          <w:szCs w:val="20"/>
        </w:rPr>
      </w:pPr>
      <w:r>
        <w:rPr>
          <w:rFonts w:ascii="Arial" w:hAnsi="Arial" w:cs="Arial"/>
          <w:sz w:val="20"/>
          <w:szCs w:val="20"/>
        </w:rPr>
        <w:t>Author 1: Dr. Don Gregory</w:t>
      </w:r>
    </w:p>
    <w:p w:rsidR="008F3476" w:rsidRDefault="008F3476" w:rsidP="008F3476">
      <w:pPr>
        <w:spacing w:line="240" w:lineRule="auto"/>
        <w:rPr>
          <w:rFonts w:ascii="Arial" w:hAnsi="Arial" w:cs="Arial"/>
          <w:sz w:val="20"/>
          <w:szCs w:val="20"/>
        </w:rPr>
      </w:pPr>
      <w:r>
        <w:rPr>
          <w:rFonts w:ascii="Arial" w:hAnsi="Arial" w:cs="Arial"/>
          <w:sz w:val="20"/>
          <w:szCs w:val="20"/>
        </w:rPr>
        <w:t xml:space="preserve">Author 2: Dr. AP </w:t>
      </w:r>
      <w:proofErr w:type="spellStart"/>
      <w:r>
        <w:rPr>
          <w:rFonts w:ascii="Arial" w:hAnsi="Arial" w:cs="Arial"/>
          <w:sz w:val="20"/>
          <w:szCs w:val="20"/>
        </w:rPr>
        <w:t>Kansal</w:t>
      </w:r>
      <w:proofErr w:type="spellEnd"/>
    </w:p>
    <w:p w:rsidR="008F3476" w:rsidRDefault="008F3476" w:rsidP="008F3476">
      <w:pPr>
        <w:spacing w:line="240" w:lineRule="auto"/>
        <w:rPr>
          <w:rFonts w:ascii="Arial" w:hAnsi="Arial" w:cs="Arial"/>
          <w:sz w:val="20"/>
          <w:szCs w:val="20"/>
        </w:rPr>
      </w:pPr>
      <w:r>
        <w:rPr>
          <w:rFonts w:ascii="Arial" w:hAnsi="Arial" w:cs="Arial"/>
          <w:sz w:val="20"/>
          <w:szCs w:val="20"/>
        </w:rPr>
        <w:t xml:space="preserve">Author 3: Dr. </w:t>
      </w:r>
      <w:proofErr w:type="spellStart"/>
      <w:r>
        <w:rPr>
          <w:rFonts w:ascii="Arial" w:hAnsi="Arial" w:cs="Arial"/>
          <w:sz w:val="20"/>
          <w:szCs w:val="20"/>
        </w:rPr>
        <w:t>Vishal</w:t>
      </w:r>
      <w:proofErr w:type="spellEnd"/>
      <w:r>
        <w:rPr>
          <w:rFonts w:ascii="Arial" w:hAnsi="Arial" w:cs="Arial"/>
          <w:sz w:val="20"/>
          <w:szCs w:val="20"/>
        </w:rPr>
        <w:t xml:space="preserve"> Chopra</w:t>
      </w:r>
    </w:p>
    <w:p w:rsidR="008F3476" w:rsidRDefault="008F3476" w:rsidP="008F3476">
      <w:pPr>
        <w:spacing w:line="240" w:lineRule="auto"/>
        <w:rPr>
          <w:rFonts w:ascii="Arial" w:hAnsi="Arial" w:cs="Arial"/>
          <w:sz w:val="20"/>
          <w:szCs w:val="20"/>
        </w:rPr>
      </w:pPr>
      <w:r>
        <w:rPr>
          <w:rFonts w:ascii="Arial" w:hAnsi="Arial" w:cs="Arial"/>
          <w:sz w:val="20"/>
          <w:szCs w:val="20"/>
        </w:rPr>
        <w:t xml:space="preserve">Author 4: Dr. </w:t>
      </w:r>
      <w:proofErr w:type="spellStart"/>
      <w:r>
        <w:rPr>
          <w:rFonts w:ascii="Arial" w:hAnsi="Arial" w:cs="Arial"/>
          <w:sz w:val="20"/>
          <w:szCs w:val="20"/>
        </w:rPr>
        <w:t>Parul</w:t>
      </w:r>
      <w:proofErr w:type="spellEnd"/>
      <w:r>
        <w:rPr>
          <w:rFonts w:ascii="Arial" w:hAnsi="Arial" w:cs="Arial"/>
          <w:sz w:val="20"/>
          <w:szCs w:val="20"/>
        </w:rPr>
        <w:t xml:space="preserve"> </w:t>
      </w:r>
      <w:proofErr w:type="spellStart"/>
      <w:r>
        <w:rPr>
          <w:rFonts w:ascii="Arial" w:hAnsi="Arial" w:cs="Arial"/>
          <w:sz w:val="20"/>
          <w:szCs w:val="20"/>
        </w:rPr>
        <w:t>Mrigpuri</w:t>
      </w:r>
      <w:proofErr w:type="spellEnd"/>
    </w:p>
    <w:p w:rsidR="00820D84" w:rsidRPr="005D40C5" w:rsidRDefault="00820D84" w:rsidP="004E102E">
      <w:pPr>
        <w:rPr>
          <w:rFonts w:cstheme="minorHAnsi"/>
          <w:sz w:val="24"/>
          <w:szCs w:val="24"/>
        </w:rPr>
      </w:pPr>
    </w:p>
    <w:p w:rsidR="004E102E" w:rsidRPr="005D40C5" w:rsidRDefault="004E102E" w:rsidP="004E102E">
      <w:pPr>
        <w:rPr>
          <w:rFonts w:cstheme="minorHAnsi"/>
          <w:sz w:val="24"/>
          <w:szCs w:val="24"/>
        </w:rPr>
      </w:pPr>
    </w:p>
    <w:p w:rsidR="004E102E" w:rsidRPr="005D40C5" w:rsidRDefault="00CF13CD" w:rsidP="004E102E">
      <w:pPr>
        <w:rPr>
          <w:rFonts w:cstheme="minorHAnsi"/>
          <w:b/>
          <w:sz w:val="24"/>
          <w:szCs w:val="24"/>
        </w:rPr>
      </w:pPr>
      <w:r w:rsidRPr="005D40C5">
        <w:rPr>
          <w:rFonts w:cstheme="minorHAnsi"/>
          <w:b/>
          <w:sz w:val="24"/>
          <w:szCs w:val="24"/>
        </w:rPr>
        <w:t>Abstract:</w:t>
      </w:r>
    </w:p>
    <w:p w:rsidR="00CF13CD" w:rsidRPr="005D40C5" w:rsidRDefault="00CF13CD" w:rsidP="004E102E">
      <w:pPr>
        <w:rPr>
          <w:rFonts w:cstheme="minorHAnsi"/>
          <w:color w:val="000000"/>
          <w:sz w:val="24"/>
          <w:szCs w:val="24"/>
        </w:rPr>
      </w:pPr>
      <w:r w:rsidRPr="005D40C5">
        <w:rPr>
          <w:rFonts w:cstheme="minorHAnsi"/>
          <w:color w:val="000000"/>
          <w:sz w:val="24"/>
          <w:szCs w:val="24"/>
        </w:rPr>
        <w:t xml:space="preserve">Asthma is one of the most common chronic diseases, with an estimated 300 million individuals affected worldwide. Inhalant allergens, in patients with allergic asthma, play a key role in bringing about the inflammation present in the airways. Fungi are increasingly being recognized as important inhalant allergens. Among the fungi, </w:t>
      </w:r>
      <w:proofErr w:type="spellStart"/>
      <w:r w:rsidRPr="005D40C5">
        <w:rPr>
          <w:rFonts w:cstheme="minorHAnsi"/>
          <w:i/>
          <w:iCs/>
          <w:color w:val="000000"/>
          <w:sz w:val="24"/>
          <w:szCs w:val="24"/>
        </w:rPr>
        <w:t>Aspergillus</w:t>
      </w:r>
      <w:proofErr w:type="spellEnd"/>
      <w:r w:rsidRPr="005D40C5">
        <w:rPr>
          <w:rFonts w:cstheme="minorHAnsi"/>
          <w:color w:val="000000"/>
          <w:sz w:val="24"/>
          <w:szCs w:val="24"/>
        </w:rPr>
        <w:t>, a genus of spore-forming fungi found worldwide is linked to asthma in many ways.</w:t>
      </w:r>
    </w:p>
    <w:p w:rsidR="00CF13CD" w:rsidRPr="005D40C5" w:rsidRDefault="00CF13CD" w:rsidP="004E102E">
      <w:pPr>
        <w:rPr>
          <w:rFonts w:cstheme="minorHAnsi"/>
          <w:color w:val="000000"/>
          <w:sz w:val="24"/>
          <w:szCs w:val="24"/>
          <w:shd w:val="clear" w:color="auto" w:fill="FFFFFF"/>
        </w:rPr>
      </w:pPr>
      <w:proofErr w:type="gramStart"/>
      <w:r w:rsidRPr="005D40C5">
        <w:rPr>
          <w:rFonts w:cstheme="minorHAnsi"/>
          <w:b/>
          <w:color w:val="000000"/>
          <w:sz w:val="24"/>
          <w:szCs w:val="24"/>
        </w:rPr>
        <w:t>Aim :</w:t>
      </w:r>
      <w:proofErr w:type="gramEnd"/>
      <w:r w:rsidRPr="005D40C5">
        <w:rPr>
          <w:rFonts w:cstheme="minorHAnsi"/>
          <w:color w:val="000000"/>
          <w:sz w:val="24"/>
          <w:szCs w:val="24"/>
          <w:shd w:val="clear" w:color="auto" w:fill="FFFFFF"/>
        </w:rPr>
        <w:t xml:space="preserve"> To study the clinical significance of </w:t>
      </w:r>
      <w:proofErr w:type="spellStart"/>
      <w:r w:rsidRPr="005D40C5">
        <w:rPr>
          <w:rFonts w:cstheme="minorHAnsi"/>
          <w:color w:val="000000"/>
          <w:sz w:val="24"/>
          <w:szCs w:val="24"/>
          <w:shd w:val="clear" w:color="auto" w:fill="FFFFFF"/>
        </w:rPr>
        <w:t>Aspergillus</w:t>
      </w:r>
      <w:proofErr w:type="spellEnd"/>
      <w:r w:rsidRPr="005D40C5">
        <w:rPr>
          <w:rFonts w:cstheme="minorHAnsi"/>
          <w:color w:val="000000"/>
          <w:sz w:val="24"/>
          <w:szCs w:val="24"/>
          <w:shd w:val="clear" w:color="auto" w:fill="FFFFFF"/>
        </w:rPr>
        <w:t xml:space="preserve"> </w:t>
      </w:r>
      <w:proofErr w:type="spellStart"/>
      <w:r w:rsidRPr="005D40C5">
        <w:rPr>
          <w:rFonts w:cstheme="minorHAnsi"/>
          <w:color w:val="000000"/>
          <w:sz w:val="24"/>
          <w:szCs w:val="24"/>
          <w:shd w:val="clear" w:color="auto" w:fill="FFFFFF"/>
        </w:rPr>
        <w:t>sensitisation</w:t>
      </w:r>
      <w:proofErr w:type="spellEnd"/>
      <w:r w:rsidRPr="005D40C5">
        <w:rPr>
          <w:rFonts w:cstheme="minorHAnsi"/>
          <w:color w:val="000000"/>
          <w:sz w:val="24"/>
          <w:szCs w:val="24"/>
          <w:shd w:val="clear" w:color="auto" w:fill="FFFFFF"/>
        </w:rPr>
        <w:t xml:space="preserve"> in asthma.</w:t>
      </w:r>
    </w:p>
    <w:p w:rsidR="0064470A" w:rsidRPr="005D40C5" w:rsidRDefault="00CF13CD" w:rsidP="004E102E">
      <w:pPr>
        <w:rPr>
          <w:rFonts w:cstheme="minorHAnsi"/>
          <w:color w:val="000000"/>
          <w:sz w:val="24"/>
          <w:szCs w:val="24"/>
        </w:rPr>
      </w:pPr>
      <w:r w:rsidRPr="005D40C5">
        <w:rPr>
          <w:rFonts w:cstheme="minorHAnsi"/>
          <w:b/>
          <w:color w:val="000000"/>
          <w:sz w:val="24"/>
          <w:szCs w:val="24"/>
          <w:shd w:val="clear" w:color="auto" w:fill="FFFFFF"/>
        </w:rPr>
        <w:t>Material and Methods:</w:t>
      </w:r>
      <w:r w:rsidR="0064470A" w:rsidRPr="005D40C5">
        <w:rPr>
          <w:rFonts w:cstheme="minorHAnsi"/>
          <w:color w:val="000000"/>
          <w:sz w:val="24"/>
          <w:szCs w:val="24"/>
          <w:shd w:val="clear" w:color="auto" w:fill="FFFFFF"/>
        </w:rPr>
        <w:t xml:space="preserve"> The case control study was done where</w:t>
      </w:r>
      <w:r w:rsidR="00311AE7">
        <w:rPr>
          <w:rFonts w:cstheme="minorHAnsi"/>
          <w:color w:val="000000"/>
          <w:sz w:val="24"/>
          <w:szCs w:val="24"/>
          <w:shd w:val="clear" w:color="auto" w:fill="FFFFFF"/>
        </w:rPr>
        <w:t xml:space="preserve"> 15</w:t>
      </w:r>
      <w:r w:rsidR="0064470A" w:rsidRPr="005D40C5">
        <w:rPr>
          <w:rFonts w:cstheme="minorHAnsi"/>
          <w:color w:val="000000"/>
          <w:sz w:val="24"/>
          <w:szCs w:val="24"/>
          <w:shd w:val="clear" w:color="auto" w:fill="FFFFFF"/>
        </w:rPr>
        <w:t xml:space="preserve">0 asthma patients </w:t>
      </w:r>
      <w:r w:rsidR="00311AE7">
        <w:rPr>
          <w:rFonts w:cstheme="minorHAnsi"/>
          <w:color w:val="000000"/>
          <w:sz w:val="24"/>
          <w:szCs w:val="24"/>
          <w:shd w:val="clear" w:color="auto" w:fill="FFFFFF"/>
        </w:rPr>
        <w:t>and 15</w:t>
      </w:r>
      <w:r w:rsidR="0064470A" w:rsidRPr="005D40C5">
        <w:rPr>
          <w:rFonts w:cstheme="minorHAnsi"/>
          <w:color w:val="000000"/>
          <w:sz w:val="24"/>
          <w:szCs w:val="24"/>
          <w:shd w:val="clear" w:color="auto" w:fill="FFFFFF"/>
        </w:rPr>
        <w:t xml:space="preserve">0 healthy volunteers were observed for skin hypersensitivity by </w:t>
      </w:r>
      <w:proofErr w:type="spellStart"/>
      <w:r w:rsidR="0064470A" w:rsidRPr="005D40C5">
        <w:rPr>
          <w:rFonts w:cstheme="minorHAnsi"/>
          <w:color w:val="000000"/>
          <w:sz w:val="24"/>
          <w:szCs w:val="24"/>
          <w:shd w:val="clear" w:color="auto" w:fill="FFFFFF"/>
        </w:rPr>
        <w:t>Aspergillus</w:t>
      </w:r>
      <w:proofErr w:type="spellEnd"/>
      <w:r w:rsidR="0064470A" w:rsidRPr="005D40C5">
        <w:rPr>
          <w:rFonts w:cstheme="minorHAnsi"/>
          <w:color w:val="000000"/>
          <w:sz w:val="24"/>
          <w:szCs w:val="24"/>
          <w:shd w:val="clear" w:color="auto" w:fill="FFFFFF"/>
        </w:rPr>
        <w:t xml:space="preserve"> skin test ,</w:t>
      </w:r>
      <w:r w:rsidR="0064470A" w:rsidRPr="005D40C5">
        <w:rPr>
          <w:rFonts w:cstheme="minorHAnsi"/>
          <w:color w:val="000000"/>
          <w:sz w:val="24"/>
          <w:szCs w:val="24"/>
        </w:rPr>
        <w:t xml:space="preserve"> 0.2 ml of </w:t>
      </w:r>
      <w:proofErr w:type="spellStart"/>
      <w:r w:rsidR="0064470A" w:rsidRPr="005D40C5">
        <w:rPr>
          <w:rFonts w:cstheme="minorHAnsi"/>
          <w:i/>
          <w:iCs/>
          <w:color w:val="000000"/>
          <w:sz w:val="24"/>
          <w:szCs w:val="24"/>
        </w:rPr>
        <w:t>Aspergillus</w:t>
      </w:r>
      <w:proofErr w:type="spellEnd"/>
      <w:r w:rsidR="0064470A" w:rsidRPr="005D40C5">
        <w:rPr>
          <w:rFonts w:cstheme="minorHAnsi"/>
          <w:i/>
          <w:iCs/>
          <w:color w:val="000000"/>
          <w:sz w:val="24"/>
          <w:szCs w:val="24"/>
        </w:rPr>
        <w:t xml:space="preserve"> </w:t>
      </w:r>
      <w:r w:rsidR="0064470A" w:rsidRPr="005D40C5">
        <w:rPr>
          <w:rFonts w:cstheme="minorHAnsi"/>
          <w:color w:val="000000"/>
          <w:sz w:val="24"/>
          <w:szCs w:val="24"/>
        </w:rPr>
        <w:t xml:space="preserve">antigens (A. </w:t>
      </w:r>
      <w:proofErr w:type="spellStart"/>
      <w:r w:rsidR="0064470A" w:rsidRPr="005D40C5">
        <w:rPr>
          <w:rFonts w:cstheme="minorHAnsi"/>
          <w:color w:val="000000"/>
          <w:sz w:val="24"/>
          <w:szCs w:val="24"/>
        </w:rPr>
        <w:t>fumigatus</w:t>
      </w:r>
      <w:proofErr w:type="spellEnd"/>
      <w:r w:rsidR="0064470A" w:rsidRPr="005D40C5">
        <w:rPr>
          <w:rFonts w:cstheme="minorHAnsi"/>
          <w:i/>
          <w:color w:val="000000"/>
          <w:sz w:val="24"/>
          <w:szCs w:val="24"/>
        </w:rPr>
        <w:t xml:space="preserve">, </w:t>
      </w:r>
      <w:r w:rsidR="0064470A" w:rsidRPr="005D40C5">
        <w:rPr>
          <w:rFonts w:cstheme="minorHAnsi"/>
          <w:color w:val="000000"/>
          <w:sz w:val="24"/>
          <w:szCs w:val="24"/>
        </w:rPr>
        <w:t xml:space="preserve">A. </w:t>
      </w:r>
      <w:proofErr w:type="spellStart"/>
      <w:r w:rsidR="0064470A" w:rsidRPr="005D40C5">
        <w:rPr>
          <w:rFonts w:cstheme="minorHAnsi"/>
          <w:color w:val="000000"/>
          <w:sz w:val="24"/>
          <w:szCs w:val="24"/>
        </w:rPr>
        <w:t>niger</w:t>
      </w:r>
      <w:proofErr w:type="spellEnd"/>
      <w:r w:rsidR="0064470A" w:rsidRPr="005D40C5">
        <w:rPr>
          <w:rFonts w:cstheme="minorHAnsi"/>
          <w:color w:val="000000"/>
          <w:sz w:val="24"/>
          <w:szCs w:val="24"/>
        </w:rPr>
        <w:t xml:space="preserve">, A. </w:t>
      </w:r>
      <w:proofErr w:type="spellStart"/>
      <w:r w:rsidR="0064470A" w:rsidRPr="005D40C5">
        <w:rPr>
          <w:rFonts w:cstheme="minorHAnsi"/>
          <w:color w:val="000000"/>
          <w:sz w:val="24"/>
          <w:szCs w:val="24"/>
        </w:rPr>
        <w:t>flavus</w:t>
      </w:r>
      <w:proofErr w:type="spellEnd"/>
      <w:r w:rsidR="0064470A" w:rsidRPr="005D40C5">
        <w:rPr>
          <w:rFonts w:cstheme="minorHAnsi"/>
          <w:color w:val="000000"/>
          <w:sz w:val="24"/>
          <w:szCs w:val="24"/>
        </w:rPr>
        <w:t xml:space="preserve">, A. </w:t>
      </w:r>
      <w:proofErr w:type="spellStart"/>
      <w:r w:rsidR="0064470A" w:rsidRPr="005D40C5">
        <w:rPr>
          <w:rFonts w:cstheme="minorHAnsi"/>
          <w:color w:val="000000"/>
          <w:sz w:val="24"/>
          <w:szCs w:val="24"/>
        </w:rPr>
        <w:t>versicolor</w:t>
      </w:r>
      <w:proofErr w:type="spellEnd"/>
      <w:r w:rsidR="0064470A" w:rsidRPr="005D40C5">
        <w:rPr>
          <w:rFonts w:cstheme="minorHAnsi"/>
          <w:color w:val="000000"/>
          <w:sz w:val="24"/>
          <w:szCs w:val="24"/>
        </w:rPr>
        <w:t xml:space="preserve"> and A. tamari) were injected </w:t>
      </w:r>
      <w:proofErr w:type="spellStart"/>
      <w:r w:rsidR="0064470A" w:rsidRPr="005D40C5">
        <w:rPr>
          <w:rFonts w:cstheme="minorHAnsi"/>
          <w:color w:val="000000"/>
          <w:sz w:val="24"/>
          <w:szCs w:val="24"/>
        </w:rPr>
        <w:t>intradermally</w:t>
      </w:r>
      <w:proofErr w:type="spellEnd"/>
      <w:r w:rsidR="0064470A" w:rsidRPr="005D40C5">
        <w:rPr>
          <w:rFonts w:cstheme="minorHAnsi"/>
          <w:color w:val="000000"/>
          <w:sz w:val="24"/>
          <w:szCs w:val="24"/>
        </w:rPr>
        <w:t xml:space="preserve"> in the other forearm at 4cm intervals. The injection site was examined after 15 min. The reactions were labeled as immediate reaction if wheal and </w:t>
      </w:r>
      <w:proofErr w:type="spellStart"/>
      <w:r w:rsidR="0064470A" w:rsidRPr="005D40C5">
        <w:rPr>
          <w:rFonts w:cstheme="minorHAnsi"/>
          <w:color w:val="000000"/>
          <w:sz w:val="24"/>
          <w:szCs w:val="24"/>
        </w:rPr>
        <w:t>erythema</w:t>
      </w:r>
      <w:proofErr w:type="spellEnd"/>
      <w:r w:rsidR="0064470A" w:rsidRPr="005D40C5">
        <w:rPr>
          <w:rFonts w:cstheme="minorHAnsi"/>
          <w:color w:val="000000"/>
          <w:sz w:val="24"/>
          <w:szCs w:val="24"/>
        </w:rPr>
        <w:t xml:space="preserve"> developed within 1 min, reached a maximum after 15 min.</w:t>
      </w:r>
      <w:r w:rsidR="0064470A" w:rsidRPr="005D40C5">
        <w:rPr>
          <w:rFonts w:cstheme="minorHAnsi"/>
          <w:i/>
          <w:iCs/>
          <w:color w:val="000000"/>
          <w:sz w:val="24"/>
          <w:szCs w:val="24"/>
        </w:rPr>
        <w:t xml:space="preserve"> </w:t>
      </w:r>
      <w:r w:rsidR="0064470A" w:rsidRPr="005D40C5">
        <w:rPr>
          <w:rFonts w:cstheme="minorHAnsi"/>
          <w:color w:val="000000"/>
          <w:sz w:val="24"/>
          <w:szCs w:val="24"/>
        </w:rPr>
        <w:t>A wheal of 3mm or more was considered positive</w:t>
      </w:r>
    </w:p>
    <w:tbl>
      <w:tblPr>
        <w:tblW w:w="2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677"/>
        <w:gridCol w:w="960"/>
        <w:gridCol w:w="963"/>
        <w:gridCol w:w="977"/>
        <w:gridCol w:w="976"/>
      </w:tblGrid>
      <w:tr w:rsidR="00B46CA5" w:rsidRPr="005D40C5" w:rsidTr="00B46CA5">
        <w:trPr>
          <w:trHeight w:val="432"/>
          <w:jc w:val="center"/>
        </w:trPr>
        <w:tc>
          <w:tcPr>
            <w:tcW w:w="1510" w:type="pct"/>
            <w:vMerge w:val="restart"/>
            <w:vAlign w:val="center"/>
            <w:hideMark/>
          </w:tcPr>
          <w:p w:rsidR="00B46CA5" w:rsidRPr="005D40C5" w:rsidRDefault="00B46CA5" w:rsidP="00A151B3">
            <w:pPr>
              <w:spacing w:line="240" w:lineRule="auto"/>
              <w:jc w:val="center"/>
              <w:rPr>
                <w:rFonts w:cstheme="minorHAnsi"/>
                <w:b/>
                <w:bCs/>
                <w:color w:val="000000"/>
                <w:sz w:val="24"/>
                <w:szCs w:val="24"/>
              </w:rPr>
            </w:pPr>
            <w:proofErr w:type="spellStart"/>
            <w:r w:rsidRPr="005D40C5">
              <w:rPr>
                <w:rFonts w:cstheme="minorHAnsi"/>
                <w:b/>
                <w:color w:val="000000"/>
                <w:sz w:val="24"/>
                <w:szCs w:val="24"/>
              </w:rPr>
              <w:t>Aspergillus</w:t>
            </w:r>
            <w:proofErr w:type="spellEnd"/>
            <w:r w:rsidRPr="005D40C5">
              <w:rPr>
                <w:rFonts w:cstheme="minorHAnsi"/>
                <w:b/>
                <w:color w:val="000000"/>
                <w:sz w:val="24"/>
                <w:szCs w:val="24"/>
              </w:rPr>
              <w:t xml:space="preserve">  Skin Test for any of the antigen</w:t>
            </w:r>
          </w:p>
        </w:tc>
        <w:tc>
          <w:tcPr>
            <w:tcW w:w="1731" w:type="pct"/>
            <w:gridSpan w:val="2"/>
            <w:vAlign w:val="center"/>
            <w:hideMark/>
          </w:tcPr>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Cases</w:t>
            </w:r>
          </w:p>
        </w:tc>
        <w:tc>
          <w:tcPr>
            <w:tcW w:w="1759" w:type="pct"/>
            <w:gridSpan w:val="2"/>
            <w:vAlign w:val="center"/>
            <w:hideMark/>
          </w:tcPr>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Control</w:t>
            </w:r>
          </w:p>
        </w:tc>
      </w:tr>
      <w:tr w:rsidR="00B46CA5" w:rsidRPr="005D40C5" w:rsidTr="00B46CA5">
        <w:trPr>
          <w:trHeight w:val="432"/>
          <w:jc w:val="center"/>
        </w:trPr>
        <w:tc>
          <w:tcPr>
            <w:tcW w:w="1510" w:type="pct"/>
            <w:vMerge/>
            <w:vAlign w:val="center"/>
            <w:hideMark/>
          </w:tcPr>
          <w:p w:rsidR="00B46CA5" w:rsidRPr="005D40C5" w:rsidRDefault="00B46CA5" w:rsidP="00A151B3">
            <w:pPr>
              <w:spacing w:line="240" w:lineRule="auto"/>
              <w:jc w:val="center"/>
              <w:rPr>
                <w:rFonts w:cstheme="minorHAnsi"/>
                <w:b/>
                <w:bCs/>
                <w:color w:val="000000"/>
                <w:sz w:val="24"/>
                <w:szCs w:val="24"/>
              </w:rPr>
            </w:pPr>
          </w:p>
        </w:tc>
        <w:tc>
          <w:tcPr>
            <w:tcW w:w="1731" w:type="pct"/>
            <w:gridSpan w:val="2"/>
            <w:vAlign w:val="center"/>
            <w:hideMark/>
          </w:tcPr>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Bronchial Asthma</w:t>
            </w:r>
          </w:p>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(n=150)</w:t>
            </w:r>
          </w:p>
        </w:tc>
        <w:tc>
          <w:tcPr>
            <w:tcW w:w="1759" w:type="pct"/>
            <w:gridSpan w:val="2"/>
            <w:vAlign w:val="center"/>
            <w:hideMark/>
          </w:tcPr>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Normal Healthy Volunteers</w:t>
            </w:r>
          </w:p>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(n=150)</w:t>
            </w:r>
          </w:p>
        </w:tc>
      </w:tr>
      <w:tr w:rsidR="00B46CA5" w:rsidRPr="005D40C5" w:rsidTr="00B46CA5">
        <w:trPr>
          <w:trHeight w:val="720"/>
          <w:jc w:val="center"/>
        </w:trPr>
        <w:tc>
          <w:tcPr>
            <w:tcW w:w="1510" w:type="pct"/>
            <w:vMerge/>
            <w:vAlign w:val="center"/>
            <w:hideMark/>
          </w:tcPr>
          <w:p w:rsidR="00B46CA5" w:rsidRPr="005D40C5" w:rsidRDefault="00B46CA5" w:rsidP="00A151B3">
            <w:pPr>
              <w:jc w:val="center"/>
              <w:rPr>
                <w:rFonts w:cstheme="minorHAnsi"/>
                <w:b/>
                <w:bCs/>
                <w:color w:val="000000"/>
                <w:sz w:val="24"/>
                <w:szCs w:val="24"/>
              </w:rPr>
            </w:pPr>
          </w:p>
        </w:tc>
        <w:tc>
          <w:tcPr>
            <w:tcW w:w="864" w:type="pct"/>
            <w:vAlign w:val="center"/>
            <w:hideMark/>
          </w:tcPr>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No.</w:t>
            </w:r>
          </w:p>
        </w:tc>
        <w:tc>
          <w:tcPr>
            <w:tcW w:w="867" w:type="pct"/>
            <w:vAlign w:val="center"/>
          </w:tcPr>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%age</w:t>
            </w:r>
          </w:p>
        </w:tc>
        <w:tc>
          <w:tcPr>
            <w:tcW w:w="880" w:type="pct"/>
            <w:vAlign w:val="center"/>
            <w:hideMark/>
          </w:tcPr>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No.</w:t>
            </w:r>
          </w:p>
        </w:tc>
        <w:tc>
          <w:tcPr>
            <w:tcW w:w="879" w:type="pct"/>
            <w:vAlign w:val="center"/>
          </w:tcPr>
          <w:p w:rsidR="00B46CA5" w:rsidRPr="005D40C5" w:rsidRDefault="00B46CA5" w:rsidP="00A151B3">
            <w:pPr>
              <w:spacing w:line="240" w:lineRule="auto"/>
              <w:jc w:val="center"/>
              <w:rPr>
                <w:rFonts w:cstheme="minorHAnsi"/>
                <w:b/>
                <w:bCs/>
                <w:color w:val="000000"/>
                <w:sz w:val="24"/>
                <w:szCs w:val="24"/>
              </w:rPr>
            </w:pPr>
            <w:r w:rsidRPr="005D40C5">
              <w:rPr>
                <w:rFonts w:cstheme="minorHAnsi"/>
                <w:b/>
                <w:bCs/>
                <w:color w:val="000000"/>
                <w:sz w:val="24"/>
                <w:szCs w:val="24"/>
              </w:rPr>
              <w:t>%age</w:t>
            </w:r>
          </w:p>
        </w:tc>
      </w:tr>
      <w:tr w:rsidR="00B46CA5" w:rsidRPr="005D40C5" w:rsidTr="00B46CA5">
        <w:trPr>
          <w:trHeight w:val="720"/>
          <w:jc w:val="center"/>
        </w:trPr>
        <w:tc>
          <w:tcPr>
            <w:tcW w:w="1510" w:type="pct"/>
            <w:vAlign w:val="center"/>
            <w:hideMark/>
          </w:tcPr>
          <w:p w:rsidR="00B46CA5" w:rsidRPr="005D40C5" w:rsidRDefault="00B46CA5" w:rsidP="00A151B3">
            <w:pPr>
              <w:jc w:val="center"/>
              <w:rPr>
                <w:rFonts w:cstheme="minorHAnsi"/>
                <w:b/>
                <w:bCs/>
                <w:color w:val="000000"/>
                <w:sz w:val="24"/>
                <w:szCs w:val="24"/>
              </w:rPr>
            </w:pPr>
            <w:r w:rsidRPr="005D40C5">
              <w:rPr>
                <w:rFonts w:cstheme="minorHAnsi"/>
                <w:b/>
                <w:bCs/>
                <w:color w:val="000000"/>
                <w:sz w:val="24"/>
                <w:szCs w:val="24"/>
              </w:rPr>
              <w:t>Negative</w:t>
            </w:r>
          </w:p>
        </w:tc>
        <w:tc>
          <w:tcPr>
            <w:tcW w:w="864" w:type="pct"/>
            <w:vAlign w:val="center"/>
            <w:hideMark/>
          </w:tcPr>
          <w:p w:rsidR="00B46CA5" w:rsidRPr="005D40C5" w:rsidRDefault="00B46CA5" w:rsidP="00A151B3">
            <w:pPr>
              <w:spacing w:line="240" w:lineRule="auto"/>
              <w:jc w:val="center"/>
              <w:rPr>
                <w:rFonts w:cstheme="minorHAnsi"/>
                <w:bCs/>
                <w:color w:val="000000"/>
                <w:sz w:val="24"/>
                <w:szCs w:val="24"/>
              </w:rPr>
            </w:pPr>
            <w:r w:rsidRPr="005D40C5">
              <w:rPr>
                <w:rFonts w:cstheme="minorHAnsi"/>
                <w:bCs/>
                <w:color w:val="000000"/>
                <w:sz w:val="24"/>
                <w:szCs w:val="24"/>
              </w:rPr>
              <w:t>41</w:t>
            </w:r>
          </w:p>
        </w:tc>
        <w:tc>
          <w:tcPr>
            <w:tcW w:w="867" w:type="pct"/>
            <w:vAlign w:val="center"/>
          </w:tcPr>
          <w:p w:rsidR="00B46CA5" w:rsidRPr="005D40C5" w:rsidRDefault="00B46CA5" w:rsidP="00A151B3">
            <w:pPr>
              <w:spacing w:line="240" w:lineRule="auto"/>
              <w:jc w:val="center"/>
              <w:rPr>
                <w:rFonts w:cstheme="minorHAnsi"/>
                <w:bCs/>
                <w:color w:val="000000"/>
                <w:sz w:val="24"/>
                <w:szCs w:val="24"/>
              </w:rPr>
            </w:pPr>
            <w:r w:rsidRPr="005D40C5">
              <w:rPr>
                <w:rFonts w:cstheme="minorHAnsi"/>
                <w:bCs/>
                <w:color w:val="000000"/>
                <w:sz w:val="24"/>
                <w:szCs w:val="24"/>
              </w:rPr>
              <w:t>27.4</w:t>
            </w:r>
          </w:p>
        </w:tc>
        <w:tc>
          <w:tcPr>
            <w:tcW w:w="880" w:type="pct"/>
            <w:vAlign w:val="center"/>
            <w:hideMark/>
          </w:tcPr>
          <w:p w:rsidR="00B46CA5" w:rsidRPr="005D40C5" w:rsidRDefault="00B46CA5" w:rsidP="00A151B3">
            <w:pPr>
              <w:spacing w:line="240" w:lineRule="auto"/>
              <w:jc w:val="center"/>
              <w:rPr>
                <w:rFonts w:cstheme="minorHAnsi"/>
                <w:bCs/>
                <w:color w:val="000000"/>
                <w:sz w:val="24"/>
                <w:szCs w:val="24"/>
              </w:rPr>
            </w:pPr>
            <w:r w:rsidRPr="005D40C5">
              <w:rPr>
                <w:rFonts w:cstheme="minorHAnsi"/>
                <w:bCs/>
                <w:color w:val="000000"/>
                <w:sz w:val="24"/>
                <w:szCs w:val="24"/>
              </w:rPr>
              <w:t>145</w:t>
            </w:r>
          </w:p>
        </w:tc>
        <w:tc>
          <w:tcPr>
            <w:tcW w:w="879" w:type="pct"/>
            <w:vAlign w:val="center"/>
          </w:tcPr>
          <w:p w:rsidR="00B46CA5" w:rsidRPr="005D40C5" w:rsidRDefault="00B46CA5" w:rsidP="00A151B3">
            <w:pPr>
              <w:spacing w:line="240" w:lineRule="auto"/>
              <w:jc w:val="center"/>
              <w:rPr>
                <w:rFonts w:cstheme="minorHAnsi"/>
                <w:bCs/>
                <w:color w:val="000000"/>
                <w:sz w:val="24"/>
                <w:szCs w:val="24"/>
              </w:rPr>
            </w:pPr>
            <w:r w:rsidRPr="005D40C5">
              <w:rPr>
                <w:rFonts w:cstheme="minorHAnsi"/>
                <w:bCs/>
                <w:color w:val="000000"/>
                <w:sz w:val="24"/>
                <w:szCs w:val="24"/>
              </w:rPr>
              <w:t>9</w:t>
            </w:r>
            <w:r w:rsidR="009606A0" w:rsidRPr="005D40C5">
              <w:rPr>
                <w:rFonts w:cstheme="minorHAnsi"/>
                <w:bCs/>
                <w:color w:val="000000"/>
                <w:sz w:val="24"/>
                <w:szCs w:val="24"/>
              </w:rPr>
              <w:t>6.7</w:t>
            </w:r>
          </w:p>
        </w:tc>
      </w:tr>
      <w:tr w:rsidR="00B46CA5" w:rsidRPr="005D40C5" w:rsidTr="00B46CA5">
        <w:trPr>
          <w:trHeight w:val="720"/>
          <w:jc w:val="center"/>
        </w:trPr>
        <w:tc>
          <w:tcPr>
            <w:tcW w:w="1510" w:type="pct"/>
            <w:vAlign w:val="center"/>
            <w:hideMark/>
          </w:tcPr>
          <w:p w:rsidR="00B46CA5" w:rsidRPr="005D40C5" w:rsidRDefault="00B46CA5" w:rsidP="00A151B3">
            <w:pPr>
              <w:jc w:val="center"/>
              <w:rPr>
                <w:rFonts w:cstheme="minorHAnsi"/>
                <w:b/>
                <w:bCs/>
                <w:color w:val="000000"/>
                <w:sz w:val="24"/>
                <w:szCs w:val="24"/>
              </w:rPr>
            </w:pPr>
            <w:r w:rsidRPr="005D40C5">
              <w:rPr>
                <w:rFonts w:cstheme="minorHAnsi"/>
                <w:b/>
                <w:bCs/>
                <w:color w:val="000000"/>
                <w:sz w:val="24"/>
                <w:szCs w:val="24"/>
              </w:rPr>
              <w:lastRenderedPageBreak/>
              <w:t>Positive</w:t>
            </w:r>
          </w:p>
        </w:tc>
        <w:tc>
          <w:tcPr>
            <w:tcW w:w="864" w:type="pct"/>
            <w:vAlign w:val="center"/>
            <w:hideMark/>
          </w:tcPr>
          <w:p w:rsidR="00B46CA5" w:rsidRPr="005D40C5" w:rsidRDefault="00B46CA5" w:rsidP="00A151B3">
            <w:pPr>
              <w:spacing w:line="240" w:lineRule="auto"/>
              <w:jc w:val="center"/>
              <w:rPr>
                <w:rFonts w:cstheme="minorHAnsi"/>
                <w:bCs/>
                <w:color w:val="000000"/>
                <w:sz w:val="24"/>
                <w:szCs w:val="24"/>
              </w:rPr>
            </w:pPr>
            <w:r w:rsidRPr="005D40C5">
              <w:rPr>
                <w:rFonts w:cstheme="minorHAnsi"/>
                <w:bCs/>
                <w:color w:val="000000"/>
                <w:sz w:val="24"/>
                <w:szCs w:val="24"/>
              </w:rPr>
              <w:t>109</w:t>
            </w:r>
          </w:p>
        </w:tc>
        <w:tc>
          <w:tcPr>
            <w:tcW w:w="867" w:type="pct"/>
            <w:vAlign w:val="center"/>
          </w:tcPr>
          <w:p w:rsidR="00B46CA5" w:rsidRPr="005D40C5" w:rsidRDefault="00B46CA5" w:rsidP="00A151B3">
            <w:pPr>
              <w:spacing w:line="240" w:lineRule="auto"/>
              <w:jc w:val="center"/>
              <w:rPr>
                <w:rFonts w:cstheme="minorHAnsi"/>
                <w:bCs/>
                <w:color w:val="000000"/>
                <w:sz w:val="24"/>
                <w:szCs w:val="24"/>
              </w:rPr>
            </w:pPr>
            <w:r w:rsidRPr="005D40C5">
              <w:rPr>
                <w:rFonts w:cstheme="minorHAnsi"/>
                <w:bCs/>
                <w:color w:val="000000"/>
                <w:sz w:val="24"/>
                <w:szCs w:val="24"/>
              </w:rPr>
              <w:t>72.6</w:t>
            </w:r>
          </w:p>
        </w:tc>
        <w:tc>
          <w:tcPr>
            <w:tcW w:w="880" w:type="pct"/>
            <w:vAlign w:val="center"/>
            <w:hideMark/>
          </w:tcPr>
          <w:p w:rsidR="00B46CA5" w:rsidRPr="005D40C5" w:rsidRDefault="00B46CA5" w:rsidP="00A151B3">
            <w:pPr>
              <w:spacing w:line="240" w:lineRule="auto"/>
              <w:jc w:val="center"/>
              <w:rPr>
                <w:rFonts w:cstheme="minorHAnsi"/>
                <w:bCs/>
                <w:color w:val="000000"/>
                <w:sz w:val="24"/>
                <w:szCs w:val="24"/>
              </w:rPr>
            </w:pPr>
            <w:r w:rsidRPr="005D40C5">
              <w:rPr>
                <w:rFonts w:cstheme="minorHAnsi"/>
                <w:bCs/>
                <w:color w:val="000000"/>
                <w:sz w:val="24"/>
                <w:szCs w:val="24"/>
              </w:rPr>
              <w:t>5</w:t>
            </w:r>
          </w:p>
        </w:tc>
        <w:tc>
          <w:tcPr>
            <w:tcW w:w="879" w:type="pct"/>
            <w:vAlign w:val="center"/>
          </w:tcPr>
          <w:p w:rsidR="00B46CA5" w:rsidRPr="005D40C5" w:rsidRDefault="00B46CA5" w:rsidP="00A151B3">
            <w:pPr>
              <w:spacing w:line="240" w:lineRule="auto"/>
              <w:jc w:val="center"/>
              <w:rPr>
                <w:rFonts w:cstheme="minorHAnsi"/>
                <w:bCs/>
                <w:color w:val="000000"/>
                <w:sz w:val="24"/>
                <w:szCs w:val="24"/>
              </w:rPr>
            </w:pPr>
            <w:r w:rsidRPr="005D40C5">
              <w:rPr>
                <w:rFonts w:cstheme="minorHAnsi"/>
                <w:bCs/>
                <w:color w:val="000000"/>
                <w:sz w:val="24"/>
                <w:szCs w:val="24"/>
              </w:rPr>
              <w:t>3</w:t>
            </w:r>
            <w:r w:rsidR="009606A0" w:rsidRPr="005D40C5">
              <w:rPr>
                <w:rFonts w:cstheme="minorHAnsi"/>
                <w:bCs/>
                <w:color w:val="000000"/>
                <w:sz w:val="24"/>
                <w:szCs w:val="24"/>
              </w:rPr>
              <w:t>.3</w:t>
            </w:r>
          </w:p>
        </w:tc>
      </w:tr>
    </w:tbl>
    <w:p w:rsidR="00B46CA5" w:rsidRPr="005D40C5" w:rsidRDefault="00B46CA5" w:rsidP="00B46CA5">
      <w:pPr>
        <w:autoSpaceDE w:val="0"/>
        <w:autoSpaceDN w:val="0"/>
        <w:adjustRightInd w:val="0"/>
        <w:spacing w:line="480" w:lineRule="auto"/>
        <w:ind w:firstLine="720"/>
        <w:jc w:val="both"/>
        <w:rPr>
          <w:rFonts w:cstheme="minorHAnsi"/>
          <w:b/>
          <w:color w:val="000000"/>
          <w:sz w:val="24"/>
          <w:szCs w:val="24"/>
        </w:rPr>
      </w:pPr>
      <w:r w:rsidRPr="005D40C5">
        <w:rPr>
          <w:rFonts w:cstheme="minorHAnsi"/>
          <w:color w:val="000000"/>
          <w:sz w:val="24"/>
          <w:szCs w:val="24"/>
        </w:rPr>
        <w:t xml:space="preserve">The above table shows skin hypersensitivity to any of the </w:t>
      </w:r>
      <w:proofErr w:type="spellStart"/>
      <w:r w:rsidRPr="005D40C5">
        <w:rPr>
          <w:rFonts w:cstheme="minorHAnsi"/>
          <w:i/>
          <w:color w:val="000000"/>
          <w:sz w:val="24"/>
          <w:szCs w:val="24"/>
        </w:rPr>
        <w:t>Aspergillus</w:t>
      </w:r>
      <w:proofErr w:type="spellEnd"/>
      <w:r w:rsidRPr="005D40C5">
        <w:rPr>
          <w:rFonts w:cstheme="minorHAnsi"/>
          <w:i/>
          <w:color w:val="000000"/>
          <w:sz w:val="24"/>
          <w:szCs w:val="24"/>
        </w:rPr>
        <w:t xml:space="preserve"> antigen in 109(</w:t>
      </w:r>
      <w:r w:rsidR="009606A0" w:rsidRPr="005D40C5">
        <w:rPr>
          <w:rFonts w:cstheme="minorHAnsi"/>
          <w:i/>
          <w:color w:val="000000"/>
          <w:sz w:val="24"/>
          <w:szCs w:val="24"/>
        </w:rPr>
        <w:t>72.6</w:t>
      </w:r>
      <w:r w:rsidRPr="005D40C5">
        <w:rPr>
          <w:rFonts w:cstheme="minorHAnsi"/>
          <w:i/>
          <w:color w:val="000000"/>
          <w:sz w:val="24"/>
          <w:szCs w:val="24"/>
        </w:rPr>
        <w:t xml:space="preserve">%) cases of </w:t>
      </w:r>
      <w:r w:rsidRPr="005D40C5">
        <w:rPr>
          <w:rFonts w:cstheme="minorHAnsi"/>
          <w:color w:val="000000"/>
          <w:sz w:val="24"/>
          <w:szCs w:val="24"/>
        </w:rPr>
        <w:t xml:space="preserve">bronchial asthma group. </w:t>
      </w:r>
      <w:r w:rsidR="009606A0" w:rsidRPr="005D40C5">
        <w:rPr>
          <w:rFonts w:cstheme="minorHAnsi"/>
          <w:color w:val="000000"/>
          <w:sz w:val="24"/>
          <w:szCs w:val="24"/>
        </w:rPr>
        <w:t xml:space="preserve">While </w:t>
      </w:r>
      <w:r w:rsidRPr="005D40C5">
        <w:rPr>
          <w:rFonts w:cstheme="minorHAnsi"/>
          <w:color w:val="000000"/>
          <w:sz w:val="24"/>
          <w:szCs w:val="24"/>
        </w:rPr>
        <w:t>5 (3</w:t>
      </w:r>
      <w:r w:rsidR="009606A0" w:rsidRPr="005D40C5">
        <w:rPr>
          <w:rFonts w:cstheme="minorHAnsi"/>
          <w:color w:val="000000"/>
          <w:sz w:val="24"/>
          <w:szCs w:val="24"/>
        </w:rPr>
        <w:t>.3</w:t>
      </w:r>
      <w:r w:rsidRPr="005D40C5">
        <w:rPr>
          <w:rFonts w:cstheme="minorHAnsi"/>
          <w:color w:val="000000"/>
          <w:sz w:val="24"/>
          <w:szCs w:val="24"/>
        </w:rPr>
        <w:t>%) showed skin hypersensitivity among the controls.</w:t>
      </w:r>
    </w:p>
    <w:p w:rsidR="00B46CA5" w:rsidRPr="005D40C5" w:rsidRDefault="00B46CA5" w:rsidP="004E102E">
      <w:pPr>
        <w:rPr>
          <w:rFonts w:cstheme="minorHAnsi"/>
          <w:color w:val="000000"/>
          <w:sz w:val="24"/>
          <w:szCs w:val="24"/>
        </w:rPr>
      </w:pPr>
    </w:p>
    <w:p w:rsidR="005D40C5" w:rsidRPr="005D40C5" w:rsidRDefault="0064470A" w:rsidP="004E102E">
      <w:pPr>
        <w:rPr>
          <w:rFonts w:cstheme="minorHAnsi"/>
          <w:color w:val="000000"/>
          <w:sz w:val="24"/>
          <w:szCs w:val="24"/>
        </w:rPr>
      </w:pPr>
      <w:r w:rsidRPr="005D40C5">
        <w:rPr>
          <w:rFonts w:cstheme="minorHAnsi"/>
          <w:b/>
          <w:color w:val="000000"/>
          <w:sz w:val="24"/>
          <w:szCs w:val="24"/>
        </w:rPr>
        <w:t>Discussion:</w:t>
      </w:r>
      <w:r w:rsidR="009606A0" w:rsidRPr="005D40C5">
        <w:rPr>
          <w:rFonts w:cstheme="minorHAnsi"/>
          <w:iCs/>
          <w:color w:val="000000"/>
          <w:sz w:val="24"/>
          <w:szCs w:val="24"/>
        </w:rPr>
        <w:t xml:space="preserve"> </w:t>
      </w:r>
      <w:r w:rsidR="005D40C5" w:rsidRPr="005D40C5">
        <w:rPr>
          <w:rFonts w:cstheme="minorHAnsi"/>
          <w:color w:val="000000"/>
          <w:sz w:val="24"/>
          <w:szCs w:val="24"/>
        </w:rPr>
        <w:t xml:space="preserve">Asthma is an inflammatory disease of the airways characterized by airway </w:t>
      </w:r>
      <w:proofErr w:type="spellStart"/>
      <w:r w:rsidR="005D40C5" w:rsidRPr="005D40C5">
        <w:rPr>
          <w:rFonts w:cstheme="minorHAnsi"/>
          <w:color w:val="000000"/>
          <w:sz w:val="24"/>
          <w:szCs w:val="24"/>
        </w:rPr>
        <w:t>hyperresponsiveness</w:t>
      </w:r>
      <w:proofErr w:type="spellEnd"/>
      <w:r w:rsidR="005D40C5" w:rsidRPr="005D40C5">
        <w:rPr>
          <w:rFonts w:cstheme="minorHAnsi"/>
          <w:color w:val="000000"/>
          <w:sz w:val="24"/>
          <w:szCs w:val="24"/>
        </w:rPr>
        <w:t xml:space="preserve"> and airflow limitation. Sensitization to </w:t>
      </w:r>
      <w:proofErr w:type="spellStart"/>
      <w:r w:rsidR="005D40C5" w:rsidRPr="005D40C5">
        <w:rPr>
          <w:rFonts w:cstheme="minorHAnsi"/>
          <w:iCs/>
          <w:color w:val="000000"/>
          <w:sz w:val="24"/>
          <w:szCs w:val="24"/>
        </w:rPr>
        <w:t>Aspergillus</w:t>
      </w:r>
      <w:proofErr w:type="spellEnd"/>
      <w:r w:rsidR="005D40C5" w:rsidRPr="005D40C5">
        <w:rPr>
          <w:rFonts w:cstheme="minorHAnsi"/>
          <w:iCs/>
          <w:color w:val="000000"/>
          <w:sz w:val="24"/>
          <w:szCs w:val="24"/>
        </w:rPr>
        <w:t xml:space="preserve"> conidia</w:t>
      </w:r>
      <w:r w:rsidR="005D40C5" w:rsidRPr="005D40C5">
        <w:rPr>
          <w:rFonts w:cstheme="minorHAnsi"/>
          <w:color w:val="000000"/>
          <w:sz w:val="24"/>
          <w:szCs w:val="24"/>
        </w:rPr>
        <w:t xml:space="preserve"> occurs in asthmatic subjects when the thick secretions, which are usually present in the airways, trap the fungal spores. This generally develops in atopic subjects and is sustained by the continuous inhalation of </w:t>
      </w:r>
      <w:proofErr w:type="spellStart"/>
      <w:r w:rsidR="005D40C5" w:rsidRPr="005D40C5">
        <w:rPr>
          <w:rFonts w:cstheme="minorHAnsi"/>
          <w:color w:val="000000"/>
          <w:sz w:val="24"/>
          <w:szCs w:val="24"/>
        </w:rPr>
        <w:t>Aspergillus</w:t>
      </w:r>
      <w:proofErr w:type="spellEnd"/>
      <w:r w:rsidR="005D40C5" w:rsidRPr="005D40C5">
        <w:rPr>
          <w:rFonts w:cstheme="minorHAnsi"/>
          <w:color w:val="000000"/>
          <w:sz w:val="24"/>
          <w:szCs w:val="24"/>
        </w:rPr>
        <w:t xml:space="preserve"> antigens, resulting in acute asthma. </w:t>
      </w:r>
      <w:proofErr w:type="spellStart"/>
      <w:r w:rsidR="009606A0" w:rsidRPr="005D40C5">
        <w:rPr>
          <w:rFonts w:cstheme="minorHAnsi"/>
          <w:iCs/>
          <w:color w:val="000000"/>
          <w:sz w:val="24"/>
          <w:szCs w:val="24"/>
        </w:rPr>
        <w:t>Aspergillus</w:t>
      </w:r>
      <w:proofErr w:type="spellEnd"/>
      <w:r w:rsidR="009606A0" w:rsidRPr="005D40C5">
        <w:rPr>
          <w:rFonts w:cstheme="minorHAnsi"/>
          <w:i/>
          <w:iCs/>
          <w:color w:val="000000"/>
          <w:sz w:val="24"/>
          <w:szCs w:val="24"/>
        </w:rPr>
        <w:t xml:space="preserve"> </w:t>
      </w:r>
      <w:r w:rsidR="009606A0" w:rsidRPr="005D40C5">
        <w:rPr>
          <w:rFonts w:cstheme="minorHAnsi"/>
          <w:color w:val="000000"/>
          <w:sz w:val="24"/>
          <w:szCs w:val="24"/>
        </w:rPr>
        <w:t xml:space="preserve">hypersensitivity can be considered as the first step in the development of ABPA, and ABPA can be </w:t>
      </w:r>
      <w:proofErr w:type="spellStart"/>
      <w:r w:rsidR="009606A0" w:rsidRPr="005D40C5">
        <w:rPr>
          <w:rFonts w:cstheme="minorHAnsi"/>
          <w:color w:val="000000"/>
          <w:sz w:val="24"/>
          <w:szCs w:val="24"/>
        </w:rPr>
        <w:t>conceptualised</w:t>
      </w:r>
      <w:proofErr w:type="spellEnd"/>
      <w:r w:rsidR="009606A0" w:rsidRPr="005D40C5">
        <w:rPr>
          <w:rFonts w:cstheme="minorHAnsi"/>
          <w:color w:val="000000"/>
          <w:sz w:val="24"/>
          <w:szCs w:val="24"/>
        </w:rPr>
        <w:t xml:space="preserve"> as an exaggerated form of </w:t>
      </w:r>
      <w:proofErr w:type="spellStart"/>
      <w:r w:rsidR="009606A0" w:rsidRPr="005D40C5">
        <w:rPr>
          <w:rFonts w:cstheme="minorHAnsi"/>
          <w:iCs/>
          <w:color w:val="000000"/>
          <w:sz w:val="24"/>
          <w:szCs w:val="24"/>
        </w:rPr>
        <w:t>Aspergillus</w:t>
      </w:r>
      <w:proofErr w:type="spellEnd"/>
      <w:r w:rsidR="009606A0" w:rsidRPr="005D40C5">
        <w:rPr>
          <w:rFonts w:cstheme="minorHAnsi"/>
          <w:iCs/>
          <w:color w:val="000000"/>
          <w:sz w:val="24"/>
          <w:szCs w:val="24"/>
        </w:rPr>
        <w:t xml:space="preserve"> </w:t>
      </w:r>
      <w:r w:rsidR="009606A0" w:rsidRPr="005D40C5">
        <w:rPr>
          <w:rFonts w:cstheme="minorHAnsi"/>
          <w:color w:val="000000"/>
          <w:sz w:val="24"/>
          <w:szCs w:val="24"/>
        </w:rPr>
        <w:t xml:space="preserve">hypersensitivity. </w:t>
      </w:r>
    </w:p>
    <w:p w:rsidR="005D40C5" w:rsidRPr="005D40C5" w:rsidRDefault="005D40C5" w:rsidP="004E102E">
      <w:pPr>
        <w:rPr>
          <w:rFonts w:cstheme="minorHAnsi"/>
          <w:color w:val="000000"/>
          <w:sz w:val="24"/>
          <w:szCs w:val="24"/>
        </w:rPr>
      </w:pPr>
    </w:p>
    <w:p w:rsidR="009606A0" w:rsidRPr="005D40C5" w:rsidRDefault="009606A0" w:rsidP="004E102E">
      <w:pPr>
        <w:rPr>
          <w:rFonts w:cstheme="minorHAnsi"/>
          <w:color w:val="000000"/>
          <w:sz w:val="24"/>
          <w:szCs w:val="24"/>
        </w:rPr>
      </w:pPr>
      <w:r w:rsidRPr="005D40C5">
        <w:rPr>
          <w:rFonts w:cstheme="minorHAnsi"/>
          <w:b/>
          <w:color w:val="000000"/>
          <w:sz w:val="24"/>
          <w:szCs w:val="24"/>
        </w:rPr>
        <w:t xml:space="preserve">Result and </w:t>
      </w:r>
      <w:r w:rsidR="005D40C5">
        <w:rPr>
          <w:rFonts w:cstheme="minorHAnsi"/>
          <w:b/>
          <w:color w:val="000000"/>
          <w:sz w:val="24"/>
          <w:szCs w:val="24"/>
        </w:rPr>
        <w:t>C</w:t>
      </w:r>
      <w:r w:rsidRPr="005D40C5">
        <w:rPr>
          <w:rFonts w:cstheme="minorHAnsi"/>
          <w:b/>
          <w:color w:val="000000"/>
          <w:sz w:val="24"/>
          <w:szCs w:val="24"/>
        </w:rPr>
        <w:t>onclusion:</w:t>
      </w:r>
      <w:r w:rsidRPr="005D40C5">
        <w:rPr>
          <w:rFonts w:cstheme="minorHAnsi"/>
          <w:color w:val="000000"/>
          <w:sz w:val="24"/>
          <w:szCs w:val="24"/>
        </w:rPr>
        <w:t xml:space="preserve"> </w:t>
      </w:r>
      <w:proofErr w:type="spellStart"/>
      <w:r w:rsidRPr="005D40C5">
        <w:rPr>
          <w:rFonts w:cstheme="minorHAnsi"/>
          <w:color w:val="000000"/>
          <w:sz w:val="24"/>
          <w:szCs w:val="24"/>
        </w:rPr>
        <w:t>Aspergillus</w:t>
      </w:r>
      <w:proofErr w:type="spellEnd"/>
      <w:r w:rsidRPr="005D40C5">
        <w:rPr>
          <w:rFonts w:cstheme="minorHAnsi"/>
          <w:color w:val="000000"/>
          <w:sz w:val="24"/>
          <w:szCs w:val="24"/>
        </w:rPr>
        <w:t xml:space="preserve"> skin hypersensitivity is an indicator of development of ABPA and there is </w:t>
      </w:r>
      <w:proofErr w:type="gramStart"/>
      <w:r w:rsidRPr="005D40C5">
        <w:rPr>
          <w:rFonts w:cstheme="minorHAnsi"/>
          <w:color w:val="000000"/>
          <w:sz w:val="24"/>
          <w:szCs w:val="24"/>
        </w:rPr>
        <w:t>a high</w:t>
      </w:r>
      <w:proofErr w:type="gramEnd"/>
      <w:r w:rsidRPr="005D40C5">
        <w:rPr>
          <w:rFonts w:cstheme="minorHAnsi"/>
          <w:color w:val="000000"/>
          <w:sz w:val="24"/>
          <w:szCs w:val="24"/>
        </w:rPr>
        <w:t xml:space="preserve"> rate </w:t>
      </w:r>
      <w:proofErr w:type="spellStart"/>
      <w:r w:rsidRPr="005D40C5">
        <w:rPr>
          <w:rFonts w:cstheme="minorHAnsi"/>
          <w:color w:val="000000"/>
          <w:sz w:val="24"/>
          <w:szCs w:val="24"/>
        </w:rPr>
        <w:t>Aspergillus</w:t>
      </w:r>
      <w:proofErr w:type="spellEnd"/>
      <w:r w:rsidRPr="005D40C5">
        <w:rPr>
          <w:rFonts w:cstheme="minorHAnsi"/>
          <w:color w:val="000000"/>
          <w:sz w:val="24"/>
          <w:szCs w:val="24"/>
        </w:rPr>
        <w:t xml:space="preserve"> skin hypersensitivity in patients of bronchial asthma hence patients with bronchial asthma should be screened with </w:t>
      </w:r>
      <w:proofErr w:type="spellStart"/>
      <w:r w:rsidRPr="005D40C5">
        <w:rPr>
          <w:rFonts w:cstheme="minorHAnsi"/>
          <w:color w:val="000000"/>
          <w:sz w:val="24"/>
          <w:szCs w:val="24"/>
        </w:rPr>
        <w:t>aspergillus</w:t>
      </w:r>
      <w:proofErr w:type="spellEnd"/>
      <w:r w:rsidRPr="005D40C5">
        <w:rPr>
          <w:rFonts w:cstheme="minorHAnsi"/>
          <w:color w:val="000000"/>
          <w:sz w:val="24"/>
          <w:szCs w:val="24"/>
        </w:rPr>
        <w:t xml:space="preserve"> skin test.</w:t>
      </w:r>
    </w:p>
    <w:p w:rsidR="0064470A" w:rsidRPr="005D40C5" w:rsidRDefault="0064470A" w:rsidP="004E102E">
      <w:pPr>
        <w:rPr>
          <w:rFonts w:cstheme="minorHAnsi"/>
          <w:color w:val="000000"/>
          <w:sz w:val="24"/>
          <w:szCs w:val="24"/>
        </w:rPr>
      </w:pPr>
    </w:p>
    <w:p w:rsidR="0064470A" w:rsidRDefault="0064470A" w:rsidP="004E102E"/>
    <w:sectPr w:rsidR="0064470A" w:rsidSect="00820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E102E"/>
    <w:rsid w:val="000B0F8A"/>
    <w:rsid w:val="000D4CE2"/>
    <w:rsid w:val="00171C14"/>
    <w:rsid w:val="00311AE7"/>
    <w:rsid w:val="004E102E"/>
    <w:rsid w:val="005D40C5"/>
    <w:rsid w:val="0064470A"/>
    <w:rsid w:val="00820D84"/>
    <w:rsid w:val="008F3476"/>
    <w:rsid w:val="009606A0"/>
    <w:rsid w:val="00B46CA5"/>
    <w:rsid w:val="00CF13CD"/>
    <w:rsid w:val="00F207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84"/>
  </w:style>
  <w:style w:type="paragraph" w:styleId="Heading1">
    <w:name w:val="heading 1"/>
    <w:basedOn w:val="Normal"/>
    <w:link w:val="Heading1Char"/>
    <w:uiPriority w:val="9"/>
    <w:qFormat/>
    <w:rsid w:val="004E10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02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606A0"/>
  </w:style>
  <w:style w:type="character" w:styleId="Hyperlink">
    <w:name w:val="Hyperlink"/>
    <w:basedOn w:val="DefaultParagraphFont"/>
    <w:uiPriority w:val="99"/>
    <w:semiHidden/>
    <w:unhideWhenUsed/>
    <w:rsid w:val="009606A0"/>
    <w:rPr>
      <w:color w:val="0000FF"/>
      <w:u w:val="single"/>
    </w:rPr>
  </w:style>
</w:styles>
</file>

<file path=word/webSettings.xml><?xml version="1.0" encoding="utf-8"?>
<w:webSettings xmlns:r="http://schemas.openxmlformats.org/officeDocument/2006/relationships" xmlns:w="http://schemas.openxmlformats.org/wordprocessingml/2006/main">
  <w:divs>
    <w:div w:id="892735705">
      <w:bodyDiv w:val="1"/>
      <w:marLeft w:val="0"/>
      <w:marRight w:val="0"/>
      <w:marTop w:val="0"/>
      <w:marBottom w:val="0"/>
      <w:divBdr>
        <w:top w:val="none" w:sz="0" w:space="0" w:color="auto"/>
        <w:left w:val="none" w:sz="0" w:space="0" w:color="auto"/>
        <w:bottom w:val="none" w:sz="0" w:space="0" w:color="auto"/>
        <w:right w:val="none" w:sz="0" w:space="0" w:color="auto"/>
      </w:divBdr>
    </w:div>
    <w:div w:id="9258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hp</cp:lastModifiedBy>
  <cp:revision>4</cp:revision>
  <dcterms:created xsi:type="dcterms:W3CDTF">2013-11-09T13:52:00Z</dcterms:created>
  <dcterms:modified xsi:type="dcterms:W3CDTF">2013-11-16T05:58:00Z</dcterms:modified>
</cp:coreProperties>
</file>